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916554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9785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9165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25pt;height:721.7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spacing w:after="0" w:line="276" w:lineRule="auto"/>
        <w:tabs>
          <w:tab w:val="right" w:pos="10195" w:leader="none"/>
        </w:tabs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  <w:t xml:space="preserve">Содержание</w:t>
      </w: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r>
    </w:p>
    <w:p>
      <w:pPr>
        <w:jc w:val="center"/>
        <w:spacing w:after="0" w:line="360" w:lineRule="auto"/>
        <w:tabs>
          <w:tab w:val="right" w:pos="10195" w:leader="none"/>
        </w:tabs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pacing w:val="20"/>
          <w:sz w:val="24"/>
          <w:szCs w:val="24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instrText xml:space="preserve"> TOC \o "1-3" \f \h \z \u </w:instrTex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fldChar w:fldCharType="separate"/>
      </w:r>
      <w:hyperlink w:tooltip="#_Toc232504346" w:anchor="_Toc232504346" w:history="1">
        <w:r>
          <w:rPr>
            <w:rStyle w:val="897"/>
            <w:rFonts w:ascii="Times New Roman" w:hAnsi="Times New Roman" w:eastAsia="Times New Roman" w:cs="Times New Roman"/>
            <w:bCs/>
            <w:iCs/>
            <w:sz w:val="23"/>
            <w:szCs w:val="23"/>
            <w:lang w:eastAsia="ru-RU"/>
          </w:rPr>
          <w:t xml:space="preserve">Перечень сокращений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_Toc232504346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3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47" w:anchor="_Toc232504347" w:history="1">
        <w:r>
          <w:rPr>
            <w:rStyle w:val="897"/>
            <w:rFonts w:ascii="Times New Roman" w:hAnsi="Times New Roman" w:eastAsia="Times New Roman" w:cs="Times New Roman"/>
            <w:bCs/>
            <w:iCs/>
            <w:sz w:val="23"/>
            <w:szCs w:val="23"/>
            <w:lang w:eastAsia="ru-RU"/>
          </w:rPr>
          <w:t xml:space="preserve">I. Общие сведения о </w:t>
        </w:r>
        <w:r>
          <w:rPr>
            <w:rStyle w:val="897"/>
            <w:rFonts w:ascii="Times New Roman" w:hAnsi="Times New Roman" w:eastAsia="Times New Roman" w:cs="Times New Roman"/>
            <w:bCs/>
            <w:sz w:val="23"/>
            <w:szCs w:val="23"/>
            <w:lang w:eastAsia="ru-RU"/>
          </w:rPr>
          <w:t xml:space="preserve">Диалоговой площадке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_Toc232504347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4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48" w:anchor="_Toc232504348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II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Количественные показатели за 2025-2026 учебный год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_Toc232504348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4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49" w:anchor="_Toc232504349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III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Причины перехода на форму семейного образования в 2025-2026 году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_Toc232504349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5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0" w:anchor="_Toc232504350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IV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Сведения о специалистах, вовлеченных в 2025-2026 учебном году в систему сопровождения семей, выбравших форму семейного образования 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</w:rPr>
          <w:t xml:space="preserve">(на уровне муниципального образования)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_Toc232504350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5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1" w:anchor="_Toc232504351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V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Сопровождение семей/обучающихся, выбравших форму семейного образования 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</w:rPr>
          <w:t xml:space="preserve">(на уровне муниципального образования)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_Toc232504351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6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2" w:anchor="_Toc232504352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VI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Качество образования обучающихся, выбравших форму семейного образования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_Toc232504352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8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3" w:anchor="_Toc232504353" w:history="1">
        <w:r>
          <w:rPr>
            <w:rStyle w:val="897"/>
            <w:rFonts w:ascii="Times New Roman" w:hAnsi="Times New Roman" w:eastAsia="Calibri" w:cs="Times New Roman"/>
            <w:sz w:val="23"/>
            <w:szCs w:val="23"/>
            <w:lang w:val="en-US"/>
          </w:rPr>
          <w:t xml:space="preserve">VII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Анализ результатов оказания комплексной помощи </w:t>
        </w:r>
        <w:r>
          <w:rPr>
            <w:rStyle w:val="897"/>
            <w:rFonts w:ascii="Times New Roman" w:hAnsi="Times New Roman" w:eastAsia="Calibri" w:cs="Times New Roman"/>
            <w:sz w:val="23"/>
            <w:szCs w:val="23"/>
          </w:rPr>
          <w:t xml:space="preserve">(методической, психолого-педагогической, диагностической, консультативной и др.) родителям, обеспечивающим получение детьми общего образования в форме семейного образования (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на уровне муниципального образования)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_Toc232504353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8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4" w:anchor="_Toc232504354" w:history="1">
        <w:r>
          <w:rPr>
            <w:rStyle w:val="897"/>
            <w:rFonts w:ascii="Times New Roman" w:hAnsi="Times New Roman" w:eastAsia="Calibri" w:cs="Times New Roman"/>
            <w:sz w:val="23"/>
            <w:szCs w:val="23"/>
            <w:lang w:val="en-US"/>
          </w:rPr>
          <w:t xml:space="preserve">VIII</w:t>
        </w:r>
        <w:r>
          <w:rPr>
            <w:rStyle w:val="897"/>
            <w:rFonts w:ascii="Times New Roman" w:hAnsi="Times New Roman" w:eastAsia="Calibri" w:cs="Times New Roman"/>
            <w:sz w:val="23"/>
            <w:szCs w:val="23"/>
          </w:rPr>
          <w:t xml:space="preserve">. 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Анализ результатов оказания ДП помощи </w:t>
        </w:r>
        <w:r>
          <w:rPr>
            <w:rStyle w:val="897"/>
            <w:rFonts w:ascii="Times New Roman" w:hAnsi="Times New Roman" w:eastAsia="Calibri" w:cs="Times New Roman"/>
            <w:sz w:val="23"/>
            <w:szCs w:val="23"/>
          </w:rPr>
          <w:t xml:space="preserve">ЦМСР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_Toc232504354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8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5" w:anchor="_Toc232504355" w:history="1">
        <w:r>
          <w:rPr>
            <w:rStyle w:val="897"/>
            <w:rFonts w:ascii="Times New Roman" w:hAnsi="Times New Roman" w:eastAsia="Calibri" w:cs="Times New Roman"/>
            <w:sz w:val="23"/>
            <w:szCs w:val="23"/>
            <w:lang w:val="en-US"/>
          </w:rPr>
          <w:t xml:space="preserve">I</w:t>
        </w:r>
        <w:r>
          <w:rPr>
            <w:rStyle w:val="897"/>
            <w:rFonts w:ascii="Times New Roman" w:hAnsi="Times New Roman" w:eastAsia="Calibri" w:cs="Times New Roman"/>
            <w:sz w:val="23"/>
            <w:szCs w:val="23"/>
          </w:rPr>
          <w:t xml:space="preserve">X. 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Выводы и предложения по совершенствованию деятельности ДП, ЦМРС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_Toc232504355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8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pStyle w:val="896"/>
        <w:jc w:val="both"/>
        <w:spacing w:after="0" w:line="360" w:lineRule="auto"/>
        <w:tabs>
          <w:tab w:val="right" w:pos="10195" w:leader="none"/>
        </w:tabs>
        <w:rPr>
          <w:rFonts w:ascii="Times New Roman" w:hAnsi="Times New Roman" w:cs="Times New Roman" w:eastAsiaTheme="minorEastAsia"/>
          <w:sz w:val="23"/>
          <w:szCs w:val="23"/>
          <w:lang w:eastAsia="ru-RU"/>
        </w:rPr>
      </w:pPr>
      <w:r/>
      <w:hyperlink w:tooltip="#_Toc232504356" w:anchor="_Toc232504356" w:history="1"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val="en-US" w:eastAsia="ru-RU"/>
          </w:rPr>
          <w:t xml:space="preserve">X</w:t>
        </w:r>
        <w:r>
          <w:rPr>
            <w:rStyle w:val="897"/>
            <w:rFonts w:ascii="Times New Roman" w:hAnsi="Times New Roman" w:eastAsia="Times New Roman" w:cs="Times New Roman"/>
            <w:sz w:val="23"/>
            <w:szCs w:val="23"/>
            <w:lang w:eastAsia="ru-RU"/>
          </w:rPr>
          <w:t xml:space="preserve">. Требования к структуре и содержанию отчета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>
          <w:rPr>
            <w:rFonts w:ascii="Times New Roman" w:hAnsi="Times New Roman" w:cs="Times New Roman"/>
            <w:sz w:val="23"/>
            <w:szCs w:val="23"/>
          </w:rPr>
          <w:fldChar w:fldCharType="begin"/>
        </w:r>
        <w:r>
          <w:rPr>
            <w:rFonts w:ascii="Times New Roman" w:hAnsi="Times New Roman" w:cs="Times New Roman"/>
            <w:sz w:val="23"/>
            <w:szCs w:val="23"/>
          </w:rPr>
          <w:instrText xml:space="preserve"> PAGEREF _Toc232504356 \h </w:instrText>
        </w:r>
        <w:r>
          <w:rPr>
            <w:rFonts w:ascii="Times New Roman" w:hAnsi="Times New Roman" w:cs="Times New Roman"/>
            <w:sz w:val="23"/>
            <w:szCs w:val="23"/>
          </w:rPr>
        </w:r>
        <w:r>
          <w:rPr>
            <w:rFonts w:ascii="Times New Roman" w:hAnsi="Times New Roman" w:cs="Times New Roman"/>
            <w:sz w:val="23"/>
            <w:szCs w:val="23"/>
          </w:rPr>
          <w:fldChar w:fldCharType="separate"/>
        </w:r>
        <w:r>
          <w:rPr>
            <w:rFonts w:ascii="Times New Roman" w:hAnsi="Times New Roman" w:cs="Times New Roman"/>
            <w:sz w:val="23"/>
            <w:szCs w:val="23"/>
          </w:rPr>
          <w:t xml:space="preserve">8</w:t>
        </w:r>
        <w:r>
          <w:rPr>
            <w:rFonts w:ascii="Times New Roman" w:hAnsi="Times New Roman" w:cs="Times New Roman"/>
            <w:sz w:val="23"/>
            <w:szCs w:val="23"/>
          </w:rPr>
          <w:fldChar w:fldCharType="end"/>
        </w:r>
      </w:hyperlink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  <w:r>
        <w:rPr>
          <w:rFonts w:ascii="Times New Roman" w:hAnsi="Times New Roman" w:cs="Times New Roman" w:eastAsiaTheme="minorEastAsia"/>
          <w:sz w:val="23"/>
          <w:szCs w:val="23"/>
          <w:lang w:eastAsia="ru-RU"/>
        </w:rPr>
      </w:r>
    </w:p>
    <w:p>
      <w:pPr>
        <w:ind w:right="-1"/>
        <w:jc w:val="both"/>
        <w:keepLines/>
        <w:keepNext/>
        <w:spacing w:after="0" w:line="360" w:lineRule="auto"/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r>
    </w:p>
    <w:p>
      <w:pPr>
        <w:ind w:right="-1"/>
        <w:jc w:val="center"/>
        <w:keepLines/>
        <w:keepNext/>
        <w:spacing w:after="0" w:line="276" w:lineRule="auto"/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ru-RU"/>
        </w:rPr>
      </w:r>
    </w:p>
    <w:p>
      <w:pPr>
        <w:ind w:right="-1"/>
        <w:jc w:val="center"/>
        <w:keepLines/>
        <w:keepNext/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p>
      <w:pPr>
        <w:ind w:right="-1"/>
        <w:jc w:val="center"/>
        <w:keepLines/>
        <w:keepNext/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bCs/>
          <w:spacing w:val="20"/>
          <w:sz w:val="28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outlineLvl w:val="1"/>
      </w:pPr>
      <w:r/>
      <w:bookmarkStart w:id="0" w:name="_Toc155661001"/>
      <w:r/>
      <w:bookmarkStart w:id="1" w:name="_Toc155672112"/>
      <w:r/>
      <w:bookmarkStart w:id="2" w:name="_Toc155672871"/>
      <w:r/>
      <w:bookmarkStart w:id="3" w:name="_Toc155673253"/>
      <w:r/>
      <w:bookmarkStart w:id="4" w:name="_Toc155674711"/>
      <w:r/>
      <w:bookmarkStart w:id="5" w:name="_Toc168388537"/>
      <w:r/>
      <w:bookmarkStart w:id="6" w:name="_Toc168388596"/>
      <w:r/>
      <w:bookmarkStart w:id="7" w:name="_Toc232504346"/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Перечень сокращений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tbl>
      <w:tblPr>
        <w:tblStyle w:val="891"/>
        <w:tblW w:w="0" w:type="auto"/>
        <w:tblInd w:w="0" w:type="dxa"/>
        <w:tblLook w:val="04A0" w:firstRow="1" w:lastRow="0" w:firstColumn="1" w:lastColumn="0" w:noHBand="0" w:noVBand="1"/>
      </w:tblPr>
      <w:tblGrid>
        <w:gridCol w:w="1674"/>
        <w:gridCol w:w="85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Диалоговая площадка (ДП)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Диалоговая площадка для эффективного взаимодействия с родителями, обучающими детей в форме семейного образования, созданная на базе органа местного самоуправления Ханты-Мансийского автономного округа – Югры, осуществляющего управление в сфере образования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Центр методического сопровождения (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ЦМСР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/>
                <w:spacing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Центр методического сопровождения родителей (законных представителей) обучающихся, выбравших форму семейного образования</w:t>
            </w:r>
            <w:r>
              <w:rPr>
                <w:rFonts w:ascii="Times New Roman" w:hAnsi="Times New Roman" w:eastAsia="Times New Roman"/>
                <w:spacing w:val="20"/>
                <w:lang w:eastAsia="ru-RU"/>
              </w:rPr>
            </w:r>
            <w:r>
              <w:rPr>
                <w:rFonts w:ascii="Times New Roman" w:hAnsi="Times New Roman" w:eastAsia="Times New Roman"/>
                <w:spacing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МОУО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Орган местного самоуправления Ханты-Мансийского автономного округа – Югры, осуществляющий управление в сфере образования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Образовательная организация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510" w:footer="708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  <w:outlineLvl w:val="1"/>
      </w:pPr>
      <w:r/>
      <w:bookmarkStart w:id="8" w:name="_Toc155661002"/>
      <w:r/>
      <w:bookmarkStart w:id="9" w:name="_Toc155672113"/>
      <w:r/>
      <w:bookmarkStart w:id="10" w:name="_Toc155672872"/>
      <w:r/>
      <w:bookmarkStart w:id="11" w:name="_Toc155673254"/>
      <w:r/>
      <w:bookmarkStart w:id="12" w:name="_Toc155674712"/>
      <w:r/>
      <w:bookmarkStart w:id="13" w:name="_Toc168388538"/>
      <w:r/>
      <w:bookmarkStart w:id="14" w:name="_Toc168388597"/>
      <w:r/>
      <w:bookmarkStart w:id="15" w:name="_Toc232504347"/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I. </w:t>
      </w:r>
      <w:bookmarkStart w:id="16" w:name="_Hlk151730486"/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Общие сведения </w:t>
      </w:r>
      <w:bookmarkEnd w:id="16"/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 </w:t>
      </w:r>
      <w:bookmarkEnd w:id="8"/>
      <w:r/>
      <w:bookmarkEnd w:id="9"/>
      <w:r/>
      <w:bookmarkEnd w:id="10"/>
      <w:r/>
      <w:bookmarkEnd w:id="11"/>
      <w:r/>
      <w:bookmarkEnd w:id="12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Диалоговой площадке</w:t>
      </w:r>
      <w:bookmarkEnd w:id="13"/>
      <w:r/>
      <w:bookmarkEnd w:id="14"/>
      <w:r/>
      <w:bookmarkEnd w:id="15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20"/>
          <w:sz w:val="28"/>
          <w:szCs w:val="24"/>
          <w:lang w:eastAsia="ru-RU"/>
        </w:rPr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80"/>
        <w:gridCol w:w="4540"/>
        <w:gridCol w:w="4656"/>
      </w:tblGrid>
      <w:tr>
        <w:tblPrEx/>
        <w:trPr>
          <w:jc w:val="center"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ind w:left="0" w:right="0" w:firstLine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город Мегион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Населенный пункт (указать полностью)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город Мегион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Полное наименование МОУО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департамент образования администрации города Мегиона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официального сайта МОУО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hyperlink r:id="rId11" w:tooltip="https://doimp.admmegion.ru/" w:history="1">
              <w:r>
                <w:rPr>
                  <w:rStyle w:val="897"/>
                  <w:rFonts w:ascii="Times New Roman" w:hAnsi="Times New Roman" w:eastAsia="Times New Roman" w:cs="Times New Roman"/>
                  <w:color w:val="0000ee"/>
                  <w:sz w:val="24"/>
                  <w:szCs w:val="24"/>
                  <w:u w:val="single"/>
                </w:rPr>
                <w:t xml:space="preserve">doimp.admmegion.ru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7" w:name="_Hlk15197955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Ф.И.О., должность ответственного лица, сотрудника МОУО, курирующего деятельность Диалоговой площадки (муниципальный координатор)</w:t>
            </w:r>
            <w:bookmarkEnd w:id="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Сусол Юлия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главный специалист отдела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4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 сотрудника МОУО, курирующего деятельность ДП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  <w:hyperlink r:id="rId12" w:tooltip="http://SusolJG@admmegion.ru" w:history="1">
              <w:r>
                <w:rPr>
                  <w:rStyle w:val="897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SusolJG@admmegion.ru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53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 телефона муниципального координатора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8(34643)96658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25378)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 лица, ответственного за заполнение отчетной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Сусол Юлия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 и контактные телефоны лица, ответственного за заполнение отчетной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http://SusolJG@admmegion.ru" w:history="1">
              <w:r>
                <w:rPr>
                  <w:rStyle w:val="897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SusolJG@admmegion.ru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8(34643)96658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25378)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(актуальный режим доступа)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страницу «Диалоговая площадка» официального сайта МОУО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hyperlink r:id="rId14" w:tooltip="https://doimp.admmegion.ru/activities/deyatelnost-tsentrov-semeynogo-obrazovaniya-i-samoobrazovaniya-dialogovykh-ploshchadok-/" w:history="1">
              <w:r>
                <w:rPr>
                  <w:rStyle w:val="897"/>
                  <w:rFonts w:ascii="Times New Roman" w:hAnsi="Times New Roman" w:eastAsia="Times New Roman" w:cs="Times New Roman"/>
                  <w:color w:val="0000ee"/>
                  <w:sz w:val="24"/>
                  <w:szCs w:val="24"/>
                  <w:u w:val="single"/>
                </w:rPr>
                <w:t xml:space="preserve">doimp.admmegion.ru/activities/deyatelnost-tsentrov-semeynogo-obrazovaniya-i-samoobrazovaniya-dialogovykh-ploshchadok-/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0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(актуальный режим доступа)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отчет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56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18" w:name="_Toc155661004"/>
      <w:r/>
      <w:bookmarkStart w:id="19" w:name="_Toc155672115"/>
      <w:r/>
      <w:bookmarkStart w:id="20" w:name="_Toc155672874"/>
      <w:r/>
      <w:bookmarkStart w:id="21" w:name="_Toc155673256"/>
      <w:r/>
      <w:bookmarkStart w:id="22" w:name="_Toc155674714"/>
      <w:r/>
      <w:bookmarkStart w:id="23" w:name="_Toc168388541"/>
      <w:r/>
      <w:bookmarkStart w:id="24" w:name="_Toc168388600"/>
      <w:r/>
      <w:bookmarkStart w:id="25" w:name="_Toc232504348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Количественные показатели</w:t>
      </w:r>
      <w:bookmarkEnd w:id="18"/>
      <w:r/>
      <w:bookmarkEnd w:id="19"/>
      <w:r/>
      <w:bookmarkEnd w:id="20"/>
      <w:r/>
      <w:bookmarkEnd w:id="21"/>
      <w:r/>
      <w:bookmarkEnd w:id="22"/>
      <w:r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ru-RU"/>
        </w:rPr>
        <w:footnoteReference w:id="2"/>
      </w:r>
      <w:bookmarkEnd w:id="23"/>
      <w:r/>
      <w:bookmarkEnd w:id="2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 2025-2026 учебный год</w:t>
      </w:r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</w:rPr>
      </w:pPr>
      <w:r/>
      <w:bookmarkStart w:id="27" w:name="_Hlk151980740"/>
      <w:r>
        <w:rPr>
          <w:rFonts w:ascii="Times New Roman" w:hAnsi="Times New Roman" w:eastAsia="Calibri" w:cs="Times New Roman"/>
          <w:b/>
          <w:sz w:val="24"/>
        </w:rPr>
        <w:t xml:space="preserve">1. Центров методического сопровождения родителей</w:t>
      </w:r>
      <w:r>
        <w:rPr>
          <w:rFonts w:ascii="Times New Roman" w:hAnsi="Times New Roman" w:eastAsia="Calibri" w:cs="Times New Roman"/>
          <w:sz w:val="24"/>
        </w:rPr>
        <w:t xml:space="preserve"> (законных представителей) обучающихся, выбравших форму семейного образования </w:t>
      </w:r>
      <w:bookmarkEnd w:id="27"/>
      <w:r>
        <w:rPr>
          <w:rFonts w:ascii="Times New Roman" w:hAnsi="Times New Roman" w:eastAsia="Calibri" w:cs="Times New Roman"/>
          <w:sz w:val="24"/>
        </w:rPr>
        <w:t xml:space="preserve">(общее количество), созданных на базе ОО муниципального образования - </w:t>
      </w:r>
      <w:r>
        <w:rPr>
          <w:rFonts w:ascii="Times New Roman" w:hAnsi="Times New Roman" w:eastAsia="Calibri" w:cs="Times New Roman"/>
          <w:b/>
          <w:bCs/>
          <w:sz w:val="24"/>
        </w:rPr>
        <w:t xml:space="preserve">3</w:t>
      </w:r>
      <w:r>
        <w:rPr>
          <w:rFonts w:ascii="Times New Roman" w:hAnsi="Times New Roman" w:eastAsia="Calibri" w:cs="Times New Roman"/>
          <w:sz w:val="24"/>
        </w:rPr>
        <w:t xml:space="preserve">;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Семей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 уровне муниципального образования)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количество семей, выбравших для своего ребенка форму семейного образования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Обучающихся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 уровне муниципального образования)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численность детей, выбравших форму семейного образования/самообразования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29 + 1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совершеннолетний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нормотипичных детей, выбравших форму семейного образования/самообразования, в разрезе классов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28 + 1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совершеннолетний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tbl>
      <w:tblPr>
        <w:tblStyle w:val="744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>
        <w:tblPrEx/>
        <w:trPr/>
        <w:tc>
          <w:tcPr>
            <w:gridSpan w:val="11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Классы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детей, нуждающихся в создании специальных условий, выбравших форму семейного образования/самообразования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разрезе классов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 класс - 1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 ОВЗ (без инвалидности)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выбравших форму семейного образования/самообразования, в разрезе классов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 них, дети, с интеллектуальными нарушениями, выбравшие форму семейного образования/самообразования, в разрезе классов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8"/>
        <w:numPr>
          <w:ilvl w:val="0"/>
          <w:numId w:val="1"/>
        </w:numPr>
        <w:contextualSpacing w:val="0"/>
        <w:ind w:left="0"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 ОВЗ и инвалидностью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выбравших форму семейного образования/самообразования, в разрезе классов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них, дети, с интеллектуальными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нарушениями, выбравшие форму семейного образования/самообразования, в разрезе классов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8"/>
        <w:numPr>
          <w:ilvl w:val="0"/>
          <w:numId w:val="1"/>
        </w:numPr>
        <w:contextualSpacing w:val="0"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исленность детей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 инвалидностью (без ОВЗ)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выбравших форму семейного образования/самообразования, в разрезе классов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8"/>
        <w:numPr>
          <w:ilvl w:val="0"/>
          <w:numId w:val="1"/>
        </w:numPr>
        <w:contextualSpacing w:val="0"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ети из многодетных семей 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8"/>
        <w:numPr>
          <w:ilvl w:val="0"/>
          <w:numId w:val="1"/>
        </w:numPr>
        <w:contextualSpacing w:val="0"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находящиеся под опекой/попечительством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Численность детей, вернувшихся с формы семейного образования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/>
      </w:r>
      <w:bookmarkStart w:id="28" w:name="_GoBack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</w:t>
      </w:r>
      <w:bookmarkEnd w:id="2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указанием формы образования)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2 - очно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Обучающихся, имеющих академическую задолженность: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детей, переведенных на форму семейного образования и имеющих академическую задолженность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из них: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нормотипичных детей, переведенных на форму семейного образования и имеющих академическую задолженность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 с ОВЗ (без инвалидности) переведенных на форму семейного образования и имеющих академическую задолженность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 них с интеллектуальными нарушениями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 с ОВЗ и инвалидностью, переведенных на форму семейного образования и имеющих академическую задолженность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 них с интеллектуальными нарушениями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численность детей с инвалидностью (без ОВЗ),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переведенных на форму семейного образования и имеющих академическую задолженность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причины академической задолженности по итогам промежуточной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Примечание: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по состоянию на отчетную дату 13 из 27 детей, находящихся на семейной форме обучения либо самообразовании предоставили результаты промежуточной аттестации. 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 соответствии с пунктом 2.6 Рекомендаций об организации освоения обучающимися основных общеобразовательных программ вне организаций, осуществляющих образовательную деятельность в форме семейного образования на территории Ханты-Мансийского автономного округ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 – Югры, утвержденных приказом Департамента образования и науки Ханты-Мансийского автономного округа – Югры от 02.05.2023 №10-П-1063, родители (законные представители) несовершеннолетних, получающих образование в форме семейного образования, ежегодно (до 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1 августа) предоставляют в департамент образования администрации города Мегиона, документ (справку) о прохождении ребенком промежуточной аттестации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29" w:name="_Toc168388542"/>
      <w:r/>
      <w:bookmarkStart w:id="30" w:name="_Toc168388601"/>
      <w:r/>
      <w:bookmarkStart w:id="31" w:name="_Toc155661005"/>
      <w:r/>
      <w:bookmarkStart w:id="32" w:name="_Toc155672116"/>
      <w:r/>
      <w:bookmarkStart w:id="33" w:name="_Toc155672875"/>
      <w:r/>
      <w:bookmarkStart w:id="34" w:name="_Toc155673257"/>
      <w:r/>
      <w:bookmarkStart w:id="35" w:name="_Toc155674715"/>
      <w:r/>
      <w:bookmarkStart w:id="36" w:name="_Toc232504349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Причины перехода на форму семейного образования</w:t>
      </w:r>
      <w:bookmarkEnd w:id="29"/>
      <w:r/>
      <w:bookmarkEnd w:id="3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bookmarkEnd w:id="31"/>
      <w:r/>
      <w:bookmarkEnd w:id="32"/>
      <w:r/>
      <w:bookmarkEnd w:id="33"/>
      <w:r/>
      <w:bookmarkEnd w:id="34"/>
      <w:r/>
      <w:bookmarkEnd w:id="3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2025-2026 году</w:t>
      </w:r>
      <w:bookmarkEnd w:id="3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настоящем разделе содержится информация о причинах выбора формы семейного образования.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1.Религиозные убеждения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ребенка,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потребности, а также индивидуальные воспитательные потребности 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3.Т</w:t>
      </w:r>
      <w:r>
        <w:rPr>
          <w:rFonts w:ascii="Times New Roman" w:hAnsi="Times New Roman" w:cs="Times New Roman"/>
          <w:sz w:val="24"/>
          <w:szCs w:val="24"/>
        </w:rPr>
        <w:t xml:space="preserve">рудоустройство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4.Проживание за пределами РФ, но при этом желание получить российское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37" w:name="_Toc155661006"/>
      <w:r/>
      <w:bookmarkStart w:id="38" w:name="_Toc155672117"/>
      <w:r/>
      <w:bookmarkStart w:id="39" w:name="_Toc155672876"/>
      <w:r/>
      <w:bookmarkStart w:id="40" w:name="_Toc155673258"/>
      <w:r/>
      <w:bookmarkStart w:id="41" w:name="_Toc155674716"/>
      <w:r/>
      <w:bookmarkStart w:id="42" w:name="_Toc168388543"/>
      <w:r/>
      <w:bookmarkStart w:id="43" w:name="_Toc168388602"/>
      <w:r/>
      <w:bookmarkStart w:id="44" w:name="_Toc232504350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Сведения о специалистах, вовлеченных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2025-2026 учебном году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систему сопровождения семей, выбравших форму семейного образования</w:t>
      </w:r>
      <w:bookmarkEnd w:id="37"/>
      <w:r/>
      <w:bookmarkEnd w:id="38"/>
      <w:r/>
      <w:bookmarkEnd w:id="39"/>
      <w:r/>
      <w:bookmarkEnd w:id="40"/>
      <w:r/>
      <w:bookmarkEnd w:id="41"/>
      <w:r/>
      <w:bookmarkEnd w:id="42"/>
      <w:r/>
      <w:bookmarkEnd w:id="4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 уровне муниципального образования)</w:t>
      </w:r>
      <w:bookmarkEnd w:id="44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Раздел содержит информацию о специалистах,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осуществ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ивших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сопровождение семей, выбравших семейную форму образования (форма «Кадровое обеспечение реализации деятельности ДП и ЦМСР»).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Кадровое обеспечение реализации деятельности ДП и ЦМСР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</w:r>
    </w:p>
    <w:tbl>
      <w:tblPr>
        <w:tblW w:w="10318" w:type="dxa"/>
        <w:jc w:val="center"/>
        <w:tblLook w:val="04A0" w:firstRow="1" w:lastRow="0" w:firstColumn="1" w:lastColumn="0" w:noHBand="0" w:noVBand="1"/>
      </w:tblPr>
      <w:tblGrid>
        <w:gridCol w:w="653"/>
        <w:gridCol w:w="2608"/>
        <w:gridCol w:w="1980"/>
        <w:gridCol w:w="2409"/>
        <w:gridCol w:w="2668"/>
      </w:tblGrid>
      <w:tr>
        <w:tblPrEx/>
        <w:trPr>
          <w:jc w:val="center"/>
          <w:trHeight w:val="1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ФИО специалиста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Квалификационная категория (ученая степень 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Стаж педагогической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1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Игнатович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Ильина Наталья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Каменова Катя Стефановна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ИЗО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Ларина Екатерина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Малаева Марина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Мальцева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Шевченко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Фесенко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Черемисина Анна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Осипова Галина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Ойболатова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Гюльбике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Макирдиновна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Отраднова Алина Аликовна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 труда (технологии)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Муромцева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Сухушина Екатерина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начальник методического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Гадевич Людмила Георгиевна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Рыбакова Надежда Григорьевна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Николаева Людмила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математики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Шпинь Виктория Валерьевна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Леписова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иностранного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Городецкая Светлана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Зарипова Лилия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Ряжаповна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географии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Нужных Ирина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Хабиевна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физики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Закудряева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химии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Стерехова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Гадевич Виктор Николаевич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Хажеева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Раиля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Адигамовна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Липкина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МАОУ «СОШ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№4»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Мищенко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директора по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Тимиргалеевна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Ананченко Татьяна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Заблудовская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Сергеевна.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Чермоева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Бабаева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Исбатуллаевна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Кравченко Анна Андреевна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Стукова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Алена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Бакина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педаагог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Никитина Наталья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Любимова Вера Борисовна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76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Помощь семьям на семейном образовании оказывают на основании заявления родителя (ч. 3 ст. 64 ФЗ № 273‑ФЗ).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76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Специалисты начинают с беседы, чтобы понять запрос семьи. Родителям помогают составить учебный план, подобрать материалы, дают памятки и рекомендации по подготовке к аттестации, а также помогают включить ребёнка в школьные круж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 и мероприятия для социализации.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76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Ребёнку проводят диагностику знаний и особенностей развития, при необходимости организуют занятия с психологом, логопедом или дефектологом, помогают развить навыки самоорганизации.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50" w:name="_Toc168388544"/>
      <w:r/>
      <w:bookmarkStart w:id="51" w:name="_Toc168388603"/>
      <w:r/>
      <w:bookmarkStart w:id="52" w:name="_Toc232504351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Сопровождение семей/обучающихся, выбравших форму семейного образования</w:t>
      </w:r>
      <w:bookmarkEnd w:id="50"/>
      <w:r/>
      <w:bookmarkEnd w:id="51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 уровне муниципального образования)</w:t>
      </w:r>
      <w:bookmarkEnd w:id="5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pacing w:val="2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настоящем разделе необходимо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описать конкретные </w:t>
      </w:r>
      <w:bookmarkStart w:id="53" w:name="_Hlk16806745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уровне муниципального образования </w:t>
      </w:r>
      <w:bookmarkEnd w:id="53"/>
      <w:r>
        <w:rPr>
          <w:rFonts w:ascii="Times New Roman" w:hAnsi="Times New Roman" w:eastAsia="Calibri" w:cs="Times New Roman"/>
          <w:sz w:val="24"/>
          <w:szCs w:val="24"/>
        </w:rPr>
        <w:t xml:space="preserve">(ДП и ЦМСР) по сопровождени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ю семей (обучающихся), выбравших форму семейного образования, в разрезе направлений: методическое, предметно-содержательное, психолого-педагогическое, диагностическое, информационное, правовое по форме «Реализация мероприятий по направлениям деятельности».</w:t>
      </w:r>
      <w:r>
        <w:rPr>
          <w:rFonts w:ascii="Times New Roman" w:hAnsi="Times New Roman" w:eastAsia="Calibri" w:cs="Times New Roman"/>
          <w:spacing w:val="2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pacing w:val="20"/>
          <w:sz w:val="28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54" w:name="_Toc168388545"/>
      <w:r/>
      <w:bookmarkStart w:id="55" w:name="_Toc168388604"/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.1. Реализация мероприятий по направлениям деятельности</w:t>
      </w:r>
      <w:bookmarkEnd w:id="54"/>
      <w:r/>
      <w:bookmarkEnd w:id="55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5103"/>
      </w:tblGrid>
      <w:tr>
        <w:tblPrEx/>
        <w:trPr>
          <w:jc w:val="center"/>
          <w:trHeight w:val="720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shd w:val="clear" w:color="auto" w:fill="ffff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мероприятий </w:t>
            </w:r>
            <w:r>
              <w:rPr>
                <w:rFonts w:ascii="Times New Roman" w:hAnsi="Times New Roman" w:eastAsia="Times New Roman" w:cs="Times New Roman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соответствии с планом работы </w:t>
            </w:r>
            <w:r>
              <w:rPr>
                <w:rFonts w:ascii="Times New Roman" w:hAnsi="Times New Roman" w:eastAsia="Times New Roman" w:cs="Times New Roman"/>
              </w:rPr>
              <w:t xml:space="preserve">ДП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Описание основных результатов реализации мероприятия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gridSpan w:val="3"/>
            <w:shd w:val="clear" w:color="auto" w:fill="d0cece"/>
            <w:tcW w:w="850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Методическое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психолого-педагогической помощи родителям (законным представителям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выбравших форму семейного образования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психолого-педагогической помощи родителям (законным представителям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выбравших форму семейного образования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консультации по ознакомлению родителей с федеральными рабочими программами (ФОП) и учебным планом школы для обеспечения соответствия домашнего обучения государственным стандартам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выстроен индивидуальный учебный план для 4,6,7 классов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Помощь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родителям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Повышение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педагогической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грамотности родителей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ребёнка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gridSpan w:val="3"/>
            <w:shd w:val="clear" w:color="auto" w:fill="d0cece"/>
            <w:tcW w:w="850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Предметно-содержательное 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тематических консультаций для родителей по поддержке предметных знаний детей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Проведено 6 </w:t>
            </w: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консультаций (математика, русский язык, </w:t>
            </w: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t xml:space="preserve">) с участием учителей</w:t>
            </w:r>
            <w:r>
              <w:rPr>
                <w:rStyle w:val="902"/>
                <w:rFonts w:ascii="Times New Roman" w:hAnsi="Times New Roman" w:eastAsia="Times New Roman" w:cs="Times New Roman"/>
                <w:sz w:val="24"/>
                <w:szCs w:val="24"/>
              </w:rPr>
              <w:noBreakHyphen/>
              <w:t xml:space="preserve">предметников.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демонстрационных версий работ для проведения промежуточной аттестации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направлены демоверсии участникам</w:t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по предметным затруднениям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проведены консультаций по затруднениям при освоении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проведения промежуточной аттестации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выстроен график, проведены консультации по демоверсиям работ</w:t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Консультирование по освоению предметных результатов 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Повышение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педагогической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грамотности родителей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вопросам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left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gridSpan w:val="3"/>
            <w:shd w:val="clear" w:color="auto" w:fill="d0cece"/>
            <w:tcW w:w="850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Психолого-педагогическое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 консультирование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обучающегося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форме ОГЭ,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собеседовании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приняли участие в общешкольном ном родительском собрании по вопросам ГИА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gridSpan w:val="3"/>
            <w:shd w:val="clear" w:color="auto" w:fill="d0cece"/>
            <w:tcW w:w="850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Диагностическое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825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психолого- педагогическое сопровождение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подготовке обучающихся к ГИА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 консультирование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обучающегося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форме ОГЭ,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собеседовании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языку.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gridSpan w:val="3"/>
            <w:shd w:val="clear" w:color="auto" w:fill="bfbfbf"/>
            <w:tcW w:w="8500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Правовое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902"/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правах и обязанностях при выборе форм образования (семейное, заочное и т. д.)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902"/>
                <w:rFonts w:ascii="Times New Roman" w:hAnsi="Times New Roman" w:cs="Times New Roman"/>
                <w:sz w:val="24"/>
                <w:szCs w:val="24"/>
              </w:rPr>
              <w:t xml:space="preserve">Проведены консультации. Разработана и роздана памятка «Правовые аспекты семейного образования» (100 экземпляров). Родители получили ответы на вопросы о порядке аттестации и взаимодействии с школой.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Рекомендации: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При заполнении таблицы следует учитывать следующее.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 графу 2 «Наименование мероприятий в соответствии с планом работы» необходимо внести все запланированные и реализованные мероприятия.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 графу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«Описание основных результатов реализации мероприятия» внести перечень полученных эффектов по результатам мероприятия.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Количество обращений, круг вопросов, с которыми обращаются семьи (обучающиеся), выбравшие форму семейного образования: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Круг вопросов: к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ак правильно оформить переход на семейное образование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 к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ак прикрепиться к школе для аттестации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 п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орядок и сроки прохождения промежуточной аттестации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 о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собенности итоговой аттестации (ОГЭ, ЕГЭ)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 социализация.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количество обращений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том числе: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очно (физическое присутствие в МОУО, ЦМСР)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форме электронного документа -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телефону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Количество консультаций -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24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том числе: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индивидуальных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групповых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Количество семей (обучающихся), выбравших форму семейного образования, получивших консультативную помощь: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ДП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ППМС-центрах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рамках деятельности психолого-педагогических консилиумов ОО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рамках деятельности ПМПК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рамках подготовки и участия в оценочных процедурах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 промежуточной и итоговой аттестации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__________________________другое.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Обращения педагогов, специалистов ЦМСР, получивших помощь от ДП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56" w:name="_Toc168388546"/>
      <w:r/>
      <w:bookmarkStart w:id="57" w:name="_Toc168388605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.2. </w:t>
      </w:r>
      <w:bookmarkEnd w:id="56"/>
      <w:r/>
      <w:bookmarkEnd w:id="57"/>
      <w:r>
        <w:rPr>
          <w:rFonts w:ascii="Times New Roman" w:hAnsi="Times New Roman" w:cs="Times New Roman"/>
          <w:b/>
          <w:sz w:val="24"/>
          <w:szCs w:val="24"/>
        </w:rPr>
        <w:t xml:space="preserve">Просветительская деятельность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2604"/>
        <w:gridCol w:w="2409"/>
        <w:gridCol w:w="4393"/>
      </w:tblGrid>
      <w:tr>
        <w:tblPrEx/>
        <w:trPr>
          <w:jc w:val="center"/>
          <w:trHeight w:val="9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продукта (памятки, методические рекомендации, буклеты, листовки и др., разработанные ДП)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Краткое описание содержания продукта (аннотация, включающая адресность)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Ссылка на размещение продукта в сети Интернет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  <w:t xml:space="preserve">4 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20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4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 по составлению учебного плана, расписания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</w:t>
            </w:r>
            <w:r>
              <w:rPr>
                <w:rFonts w:ascii="Times New Roman" w:hAnsi="Times New Roman" w:cs="Times New Roman"/>
                <w:sz w:val="24"/>
              </w:rPr>
              <w:t xml:space="preserve"> ИУП для каждого обучающегося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3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pPr>
            <w:r/>
            <w:hyperlink r:id="rId15" w:tooltip="https://shkola1megion-r86.gosweb.gosuslugi.ru/roditelyam-i-uchenikam/semeynaya-forma-obrazovaniya/" w:history="1">
              <w:r>
                <w:rPr>
                  <w:rStyle w:val="897"/>
                  <w:rFonts w:ascii="Times New Roman" w:hAnsi="Times New Roman" w:cs="Times New Roman"/>
                  <w:sz w:val="24"/>
                </w:rPr>
                <w:t xml:space="preserve">https://shkola1megion-r86.gosweb.gosuslugi.ru/roditelyam-i-uchenikam/semeynaya-forma-obrazovaniya/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sz w:val="24"/>
                <w:u w:val="single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4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Памятка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ind w:right="120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Помощь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психолога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04"/>
              <w:ind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логопеда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color w:val="ff0000"/>
                <w:sz w:val="24"/>
                <w:szCs w:val="24"/>
                <w:lang w:val="ru-RU"/>
              </w:rPr>
            </w:pPr>
            <w:r/>
            <w:hyperlink r:id="rId16" w:tooltip="https://shkola3megion-r86.gosweb.gosuslugi.ru/netcat_files/156/2592/Pamyatka_pomosch_psihologa_i_logopeda_1_.pdf" w:history="1">
              <w:r>
                <w:rPr>
                  <w:rStyle w:val="897"/>
                  <w:sz w:val="24"/>
                  <w:szCs w:val="24"/>
                </w:rPr>
                <w:t xml:space="preserve">https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97"/>
                  <w:sz w:val="24"/>
                  <w:szCs w:val="24"/>
                </w:rPr>
                <w:t xml:space="preserve">shkola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3</w:t>
              </w:r>
              <w:r>
                <w:rPr>
                  <w:rStyle w:val="897"/>
                  <w:sz w:val="24"/>
                  <w:szCs w:val="24"/>
                </w:rPr>
                <w:t xml:space="preserve">megion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97"/>
                  <w:sz w:val="24"/>
                  <w:szCs w:val="24"/>
                </w:rPr>
                <w:t xml:space="preserve">r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86.</w:t>
              </w:r>
              <w:r>
                <w:rPr>
                  <w:rStyle w:val="897"/>
                  <w:sz w:val="24"/>
                  <w:szCs w:val="24"/>
                </w:rPr>
                <w:t xml:space="preserve">gosweb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gosuslugi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ru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97"/>
                  <w:sz w:val="24"/>
                  <w:szCs w:val="24"/>
                </w:rPr>
                <w:t xml:space="preserve">netcat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files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/156/2592/</w:t>
              </w:r>
              <w:r>
                <w:rPr>
                  <w:rStyle w:val="897"/>
                  <w:sz w:val="24"/>
                  <w:szCs w:val="24"/>
                </w:rPr>
                <w:t xml:space="preserve">Pamyatka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pomosch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psihologa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logopeda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_1_.</w:t>
              </w:r>
              <w:r>
                <w:rPr>
                  <w:rStyle w:val="897"/>
                  <w:sz w:val="24"/>
                  <w:szCs w:val="24"/>
                </w:rPr>
                <w:t xml:space="preserve">pdf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val="ru-RU"/>
              </w:rPr>
            </w:r>
            <w:r>
              <w:rPr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4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Памятка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ind w:right="453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Выбор </w:t>
            </w:r>
            <w:r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школы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04"/>
              <w:ind w:right="166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аттестации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color w:val="ff0000"/>
                <w:sz w:val="24"/>
                <w:szCs w:val="24"/>
                <w:lang w:val="ru-RU"/>
              </w:rPr>
            </w:pPr>
            <w:r/>
            <w:hyperlink r:id="rId17" w:tooltip="https://shkola3megion-r86.gosweb.gosuslugi.ru/netcat_files/156/2586/sckola.pdf" w:history="1">
              <w:r>
                <w:rPr>
                  <w:rStyle w:val="897"/>
                  <w:sz w:val="24"/>
                  <w:szCs w:val="24"/>
                </w:rPr>
                <w:t xml:space="preserve">https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97"/>
                  <w:sz w:val="24"/>
                  <w:szCs w:val="24"/>
                </w:rPr>
                <w:t xml:space="preserve">shkola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3</w:t>
              </w:r>
              <w:r>
                <w:rPr>
                  <w:rStyle w:val="897"/>
                  <w:sz w:val="24"/>
                  <w:szCs w:val="24"/>
                </w:rPr>
                <w:t xml:space="preserve">megion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97"/>
                  <w:sz w:val="24"/>
                  <w:szCs w:val="24"/>
                </w:rPr>
                <w:t xml:space="preserve">r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86.</w:t>
              </w:r>
              <w:r>
                <w:rPr>
                  <w:rStyle w:val="897"/>
                  <w:sz w:val="24"/>
                  <w:szCs w:val="24"/>
                </w:rPr>
                <w:t xml:space="preserve">gosweb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gosuslugi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ru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97"/>
                  <w:sz w:val="24"/>
                  <w:szCs w:val="24"/>
                </w:rPr>
                <w:t xml:space="preserve">netcat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files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/156/2586/</w:t>
              </w:r>
              <w:r>
                <w:rPr>
                  <w:rStyle w:val="897"/>
                  <w:sz w:val="24"/>
                  <w:szCs w:val="24"/>
                </w:rPr>
                <w:t xml:space="preserve">sckola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pdf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val="ru-RU"/>
              </w:rPr>
            </w:r>
            <w:r>
              <w:rPr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4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Памятка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Выбор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04"/>
              <w:ind w:right="108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кружков и секций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color w:val="ff0000"/>
                <w:sz w:val="24"/>
                <w:szCs w:val="24"/>
                <w:lang w:val="ru-RU"/>
              </w:rPr>
            </w:pPr>
            <w:r/>
            <w:hyperlink r:id="rId18" w:tooltip="https://shkola3megion-r86.gosweb.gosuslugi.ru/netcat_files/156/2586/sekchii.pdf" w:history="1">
              <w:r>
                <w:rPr>
                  <w:rStyle w:val="897"/>
                  <w:sz w:val="24"/>
                  <w:szCs w:val="24"/>
                </w:rPr>
                <w:t xml:space="preserve">https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97"/>
                  <w:sz w:val="24"/>
                  <w:szCs w:val="24"/>
                </w:rPr>
                <w:t xml:space="preserve">shkola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3</w:t>
              </w:r>
              <w:r>
                <w:rPr>
                  <w:rStyle w:val="897"/>
                  <w:sz w:val="24"/>
                  <w:szCs w:val="24"/>
                </w:rPr>
                <w:t xml:space="preserve">megion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97"/>
                  <w:sz w:val="24"/>
                  <w:szCs w:val="24"/>
                </w:rPr>
                <w:t xml:space="preserve">r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86.</w:t>
              </w:r>
              <w:r>
                <w:rPr>
                  <w:rStyle w:val="897"/>
                  <w:sz w:val="24"/>
                  <w:szCs w:val="24"/>
                </w:rPr>
                <w:t xml:space="preserve">gosweb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gosuslugi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ru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97"/>
                  <w:sz w:val="24"/>
                  <w:szCs w:val="24"/>
                </w:rPr>
                <w:t xml:space="preserve">netcat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files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/156/2586/</w:t>
              </w:r>
              <w:r>
                <w:rPr>
                  <w:rStyle w:val="897"/>
                  <w:sz w:val="24"/>
                  <w:szCs w:val="24"/>
                </w:rPr>
                <w:t xml:space="preserve">sekchii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pdf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val="ru-RU"/>
              </w:rPr>
            </w:r>
            <w:r>
              <w:rPr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4" w:type="dxa"/>
            <w:vMerge w:val="restart"/>
            <w:textDirection w:val="lrTb"/>
            <w:noWrap w:val="false"/>
          </w:tcPr>
          <w:p>
            <w:pPr>
              <w:pStyle w:val="904"/>
              <w:ind w:right="102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Рекомендации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ind w:right="110" w:firstLine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родителей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подростков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4"/>
              <w:ind w:firstLine="59"/>
              <w:jc w:val="both"/>
              <w:rPr>
                <w:color w:val="ff0000"/>
                <w:sz w:val="24"/>
                <w:szCs w:val="24"/>
                <w:lang w:val="ru-RU"/>
              </w:rPr>
            </w:pPr>
            <w:r/>
            <w:hyperlink r:id="rId19" w:tooltip="https://shkola3megion-r86.gosweb.gosuslugi.ru/netcat_files/156/2586/Roditelyam_podrostka.pdf" w:history="1">
              <w:r>
                <w:rPr>
                  <w:rStyle w:val="897"/>
                  <w:sz w:val="24"/>
                  <w:szCs w:val="24"/>
                </w:rPr>
                <w:t xml:space="preserve">https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97"/>
                  <w:sz w:val="24"/>
                  <w:szCs w:val="24"/>
                </w:rPr>
                <w:t xml:space="preserve">shkola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3</w:t>
              </w:r>
              <w:r>
                <w:rPr>
                  <w:rStyle w:val="897"/>
                  <w:sz w:val="24"/>
                  <w:szCs w:val="24"/>
                </w:rPr>
                <w:t xml:space="preserve">megion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97"/>
                  <w:sz w:val="24"/>
                  <w:szCs w:val="24"/>
                </w:rPr>
                <w:t xml:space="preserve">r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86.</w:t>
              </w:r>
              <w:r>
                <w:rPr>
                  <w:rStyle w:val="897"/>
                  <w:sz w:val="24"/>
                  <w:szCs w:val="24"/>
                </w:rPr>
                <w:t xml:space="preserve">gosweb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gosuslugi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ru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97"/>
                  <w:sz w:val="24"/>
                  <w:szCs w:val="24"/>
                </w:rPr>
                <w:t xml:space="preserve">netcat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files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/156/2586/</w:t>
              </w:r>
              <w:r>
                <w:rPr>
                  <w:rStyle w:val="897"/>
                  <w:sz w:val="24"/>
                  <w:szCs w:val="24"/>
                </w:rPr>
                <w:t xml:space="preserve">Roditelyam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97"/>
                  <w:sz w:val="24"/>
                  <w:szCs w:val="24"/>
                </w:rPr>
                <w:t xml:space="preserve">podrostka</w:t>
              </w:r>
              <w:r>
                <w:rPr>
                  <w:rStyle w:val="897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97"/>
                  <w:sz w:val="24"/>
                  <w:szCs w:val="24"/>
                </w:rPr>
                <w:t xml:space="preserve">pdf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val="ru-RU"/>
              </w:rPr>
            </w:r>
            <w:r>
              <w:rPr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4" w:type="dxa"/>
            <w:vMerge w:val="restart"/>
            <w:textDirection w:val="lrTb"/>
            <w:noWrap w:val="false"/>
          </w:tcPr>
          <w:p>
            <w:pPr>
              <w:pStyle w:val="904"/>
              <w:ind w:left="106" w:right="651"/>
              <w:spacing w:line="276" w:lineRule="auto"/>
            </w:pPr>
            <w:r>
              <w:t xml:space="preserve">Рабочие</w:t>
            </w:r>
            <w:r>
              <w:rPr>
                <w:spacing w:val="1"/>
              </w:rPr>
              <w:t xml:space="preserve"> </w:t>
            </w:r>
            <w:r>
              <w:t xml:space="preserve">программы</w:t>
            </w:r>
            <w:r>
              <w:rPr>
                <w:spacing w:val="-52"/>
              </w:rPr>
              <w:t xml:space="preserve"> </w:t>
            </w:r>
            <w:r>
              <w:t xml:space="preserve">учебных</w:t>
            </w:r>
            <w:r>
              <w:rPr>
                <w:spacing w:val="1"/>
              </w:rPr>
              <w:t xml:space="preserve"> </w:t>
            </w:r>
            <w:r>
              <w:t xml:space="preserve">предметов, основная общеобразовательная программа НОО, учебный план, Программно-методическое обеспечение НОО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04"/>
              <w:ind w:left="106" w:right="96"/>
              <w:spacing w:line="276" w:lineRule="auto"/>
            </w:pPr>
            <w:r>
              <w:t xml:space="preserve">Предметные,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метапредметные</w:t>
            </w:r>
            <w:r>
              <w:rPr>
                <w:spacing w:val="-1"/>
              </w:rPr>
              <w:t xml:space="preserve">,</w:t>
            </w:r>
            <w:r>
              <w:rPr>
                <w:spacing w:val="-52"/>
              </w:rPr>
              <w:t xml:space="preserve"> </w:t>
            </w:r>
            <w:r>
              <w:t xml:space="preserve">личностные</w:t>
            </w:r>
            <w:r>
              <w:rPr>
                <w:spacing w:val="1"/>
              </w:rPr>
              <w:t xml:space="preserve"> </w:t>
            </w:r>
            <w:r>
              <w:t xml:space="preserve">результаты</w:t>
            </w:r>
            <w:r/>
          </w:p>
          <w:p>
            <w:pPr>
              <w:pStyle w:val="904"/>
              <w:ind w:left="106" w:right="184"/>
              <w:spacing w:line="276" w:lineRule="auto"/>
            </w:pPr>
            <w:r>
              <w:t xml:space="preserve">обучения,</w:t>
            </w:r>
            <w:r>
              <w:rPr>
                <w:spacing w:val="1"/>
              </w:rPr>
              <w:t xml:space="preserve"> </w:t>
            </w:r>
            <w:r>
              <w:t xml:space="preserve">тематическое</w:t>
            </w:r>
            <w:r>
              <w:rPr>
                <w:spacing w:val="1"/>
              </w:rPr>
              <w:t xml:space="preserve"> </w:t>
            </w:r>
            <w:r>
              <w:t xml:space="preserve">планирование с</w:t>
            </w:r>
            <w:r>
              <w:rPr>
                <w:spacing w:val="1"/>
              </w:rPr>
              <w:t xml:space="preserve"> </w:t>
            </w:r>
            <w:r>
              <w:t xml:space="preserve">указанием</w:t>
            </w:r>
            <w:r>
              <w:rPr>
                <w:spacing w:val="-12"/>
              </w:rPr>
              <w:t xml:space="preserve"> </w:t>
            </w:r>
            <w:r>
              <w:t xml:space="preserve">форм деятельности.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4"/>
              <w:ind w:left="106" w:right="830"/>
              <w:spacing w:before="39" w:line="276" w:lineRule="auto"/>
            </w:pPr>
            <w:r/>
            <w:hyperlink r:id="rId20" w:tooltip="https://school4-megion.gosuslugi.ru/svedeniya-ob-obrazovatelnoy-organizatsii/obrazovanie/" w:history="1">
              <w:r>
                <w:rPr>
                  <w:rStyle w:val="897"/>
                </w:rPr>
                <w:t xml:space="preserve">https</w:t>
              </w:r>
              <w:r>
                <w:rPr>
                  <w:rStyle w:val="897"/>
                </w:rPr>
                <w:t xml:space="preserve">://</w:t>
              </w:r>
              <w:r>
                <w:rPr>
                  <w:rStyle w:val="897"/>
                </w:rPr>
                <w:t xml:space="preserve">school</w:t>
              </w:r>
              <w:r>
                <w:rPr>
                  <w:rStyle w:val="897"/>
                </w:rPr>
                <w:t xml:space="preserve">4-</w:t>
              </w:r>
              <w:r>
                <w:rPr>
                  <w:rStyle w:val="897"/>
                </w:rPr>
                <w:t xml:space="preserve">megion</w:t>
              </w:r>
              <w:r>
                <w:rPr>
                  <w:rStyle w:val="897"/>
                </w:rPr>
                <w:t xml:space="preserve">.</w:t>
              </w:r>
              <w:r>
                <w:rPr>
                  <w:rStyle w:val="897"/>
                </w:rPr>
                <w:t xml:space="preserve">gosuslugi</w:t>
              </w:r>
              <w:r>
                <w:rPr>
                  <w:rStyle w:val="897"/>
                </w:rPr>
                <w:t xml:space="preserve">.</w:t>
              </w:r>
              <w:r>
                <w:rPr>
                  <w:rStyle w:val="897"/>
                </w:rPr>
                <w:t xml:space="preserve">ru</w:t>
              </w:r>
              <w:r>
                <w:rPr>
                  <w:rStyle w:val="897"/>
                </w:rPr>
                <w:t xml:space="preserve">/</w:t>
              </w:r>
              <w:r>
                <w:rPr>
                  <w:rStyle w:val="897"/>
                </w:rPr>
                <w:t xml:space="preserve">svedeniya</w:t>
              </w:r>
              <w:r>
                <w:rPr>
                  <w:rStyle w:val="897"/>
                </w:rPr>
                <w:t xml:space="preserve">-</w:t>
              </w:r>
              <w:r>
                <w:rPr>
                  <w:rStyle w:val="897"/>
                </w:rPr>
                <w:t xml:space="preserve">ob</w:t>
              </w:r>
              <w:r>
                <w:rPr>
                  <w:rStyle w:val="897"/>
                </w:rPr>
                <w:t xml:space="preserve">-</w:t>
              </w:r>
              <w:r>
                <w:rPr>
                  <w:rStyle w:val="897"/>
                </w:rPr>
                <w:t xml:space="preserve">obrazovatelnoy</w:t>
              </w:r>
              <w:r>
                <w:rPr>
                  <w:rStyle w:val="897"/>
                </w:rPr>
                <w:t xml:space="preserve">-</w:t>
              </w:r>
              <w:r>
                <w:rPr>
                  <w:rStyle w:val="897"/>
                </w:rPr>
                <w:t xml:space="preserve">organizatsii</w:t>
              </w:r>
              <w:r>
                <w:rPr>
                  <w:rStyle w:val="897"/>
                </w:rPr>
                <w:t xml:space="preserve">/</w:t>
              </w:r>
              <w:r>
                <w:rPr>
                  <w:rStyle w:val="897"/>
                </w:rPr>
                <w:t xml:space="preserve">obrazovanie</w:t>
              </w:r>
              <w:r>
                <w:rPr>
                  <w:rStyle w:val="897"/>
                </w:rPr>
                <w:t xml:space="preserve">/</w:t>
              </w:r>
            </w:hyperlink>
            <w:r/>
            <w:r/>
          </w:p>
          <w:p>
            <w:pPr>
              <w:pStyle w:val="904"/>
              <w:ind w:left="106" w:right="830"/>
              <w:spacing w:before="39" w:line="276" w:lineRule="auto"/>
            </w:pPr>
            <w:r/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форме «Просветительская деятельность» отразить работу Диалоговой площадки в части предоставления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возможности родителям, педагогам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специалистам ЦМСР ориентироваться в вопросах семейного воспитания и образования, семейной педагогики, новинках популярной педагогической, психолого-педагогической литературы, издаваемой в помощь тем, кто занимается воспитанием, обучением и развитием детей.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58" w:name="_Toc168388547"/>
      <w:r/>
      <w:bookmarkStart w:id="59" w:name="_Toc168388606"/>
      <w:r/>
      <w:bookmarkStart w:id="60" w:name="_Toc232504352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Качество образования</w:t>
      </w:r>
      <w:bookmarkEnd w:id="58"/>
      <w:r/>
      <w:bookmarkEnd w:id="59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обучающихся, выбравших форму семейного образования</w:t>
      </w:r>
      <w:bookmarkEnd w:id="6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текстовой части настоящего раздела представить информацию о: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формах проведения промежуточной аттестации и результатах;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709" w:firstLine="0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b/>
          <w:bCs/>
        </w:rPr>
        <w:t xml:space="preserve">Ф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ормы проведения промежуточной аттестации: письменные контрольные работы, устное собеседование, творческая работа, сдача нормативов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0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качестве знаний, полученных детьми, выбравших форму семейного образования/самообразования (в том числе результаты ОГЭ, ЕГЭ);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 w:right="0" w:firstLine="567"/>
        <w:jc w:val="both"/>
        <w:spacing w:after="0" w:line="276" w:lineRule="auto"/>
        <w:tabs>
          <w:tab w:val="left" w:pos="0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В 2025-2026 учебном году 1 ребенок обучался в 9 классе на семейной форме, 2 ребенка обучались в 11 классе по форме самообразова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ния. Обучающийся 9 класса предоставил результаты промежуточной аттестации, успешно сдал устное собеседование и был допущен к ГИА, однако обязательные предметы не сдал, будет пересдавать в резервные сроки основного периода. Данный ребенок для сдачи ГИА прик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реплен к другой школе, не подведомственной департаменту образования администрации города Мегиона. Один из учеников 11 класса не заявлялся в ОО для прохождения промежуточной и государственной итоговой аттестации в связи с достижением совершеннолетия и трудо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устройством. Второй ребенок успешно прошел промежуточную аттестацию, итоговое сочинение и был допущен до сдачи ЕГЭ. На отчетную дату имеет следующие результаты: химия - 33 балла, русский язык - 55, математика - 22 балла. Пересдача по математике 23.06.2026.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</w:p>
    <w:p>
      <w:pPr>
        <w:ind w:left="0" w:right="0" w:firstLine="567"/>
        <w:jc w:val="both"/>
        <w:spacing w:after="0" w:line="276" w:lineRule="auto"/>
        <w:tabs>
          <w:tab w:val="left" w:pos="0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Выявленные случаи демонстрируют типичные проблемы семейного образования и самообразования — низкую готовность к итоговой аттестации, риски прерывания обучения и сложности контроля. Для повышения эффективности необходимо усилить сопровождение, информировани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и взаимодействие с внешними школами.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зачислении школьников муниципального образования; ОО, на базе которой создан ЦМСР, осваивавших образовательные пр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ограммы в форме семейного образования, в иные образовательные организации муниципального образования Ханты-Мансийского автономного округа – Югры, онлайн-школы /центры других субъектов Российской Федерации для прохождения ГИА (при наличии такой информации).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30 учеников, выбравших семейную форму образования и самообр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азования 10 выбрали для прохождения промежуточной аттестации школы города Мегиона, другие проходили(проходят) промежуточную аттестацию в онлайн-школах. По результатам промежуточной аттестации тех, кто ее предоставил на отчетную дату, все прошли ее успешно.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  <w:outlineLvl w:val="1"/>
      </w:pPr>
      <w:r/>
      <w:bookmarkStart w:id="61" w:name="_Toc168387882"/>
      <w:r/>
      <w:bookmarkStart w:id="62" w:name="_Toc168388548"/>
      <w:r/>
      <w:bookmarkStart w:id="63" w:name="_Toc168388607"/>
      <w:r/>
      <w:bookmarkStart w:id="64" w:name="_Toc232504353"/>
      <w:r/>
      <w:bookmarkStart w:id="65" w:name="_Toc155661012"/>
      <w:r/>
      <w:bookmarkStart w:id="66" w:name="_Toc155672123"/>
      <w:r/>
      <w:bookmarkStart w:id="67" w:name="_Toc155672882"/>
      <w:r/>
      <w:bookmarkStart w:id="68" w:name="_Toc155673264"/>
      <w:r/>
      <w:bookmarkStart w:id="69" w:name="_Toc155674722"/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Анализ результатов оказания комплексной помощи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(методической, психолого-педагогической, диагностической, консультативной и др.) родителям, обеспечивающим получение детьми общего образования в форме семейного образования</w:t>
      </w:r>
      <w:bookmarkEnd w:id="61"/>
      <w:r/>
      <w:bookmarkEnd w:id="62"/>
      <w:r/>
      <w:bookmarkEnd w:id="63"/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уровне муниципального образования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</w:t>
      </w:r>
      <w:bookmarkEnd w:id="6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и помощи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ЦМСР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Результаты и выводы по итогам проведенного анализа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обучающимся, родителям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обеспечивающим получение детьми общего образования в форме семейного образования (на уровне муниципального образования)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помощи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ЦМСР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Высокий процент детей, которые успешно прошли промежуточную, отсутствие академических задолженностей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одители довольны формой поддержки (консультации, методические материалы, помощь психолога),сами дети положительно оценивают процесс обучения и уровень взаимодействия с наставником/куратором.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70" w:name="_Toc168387883"/>
      <w:r/>
      <w:bookmarkStart w:id="71" w:name="_Toc168388549"/>
      <w:r/>
      <w:bookmarkStart w:id="72" w:name="_Toc168388608"/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 Основные риски, затруднения, выявленные в процессе анализа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обучающимся, родителям,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обеспечивающим получение детьми общего образования в форме семейного образования (на уровне муниципального образования)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помощи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ЦМСР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70"/>
      <w:r/>
      <w:bookmarkEnd w:id="71"/>
      <w:r/>
      <w:bookmarkEnd w:id="72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Затруднения с выбором школы для прикрепления и прохождения аттестации.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Разночтения в требованиях разных школ к содержанию и форме промежуточной аттестации.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73" w:name="_Toc168387884"/>
      <w:r/>
      <w:bookmarkStart w:id="74" w:name="_Toc168388550"/>
      <w:r/>
      <w:bookmarkStart w:id="75" w:name="_Toc168388609"/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.3. Меры, принятые для решения выявленных проблем в процессе анализа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обучающимся, родителям,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обеспечивающим получение детьми общего образования в форме семейного образования (</w:t>
      </w:r>
      <w:bookmarkStart w:id="76" w:name="_Hlk168478017"/>
      <w:r>
        <w:rPr>
          <w:rFonts w:ascii="Times New Roman" w:hAnsi="Times New Roman" w:eastAsia="Times New Roman" w:cs="Times New Roman"/>
          <w:sz w:val="24"/>
          <w:szCs w:val="24"/>
        </w:rPr>
        <w:t xml:space="preserve">на уровне муниципального образования</w:t>
      </w:r>
      <w:bookmarkEnd w:id="76"/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помощи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ЦМСР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73"/>
      <w:r/>
      <w:bookmarkEnd w:id="74"/>
      <w:r/>
      <w:bookmarkEnd w:id="75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Style w:val="902"/>
          <w:rFonts w:ascii="Times New Roman" w:hAnsi="Times New Roman" w:cs="Times New Roman"/>
          <w:sz w:val="24"/>
          <w:szCs w:val="24"/>
          <w:highlight w:val="none"/>
        </w:rPr>
        <w:outlineLvl w:val="1"/>
      </w:pPr>
      <w:r/>
      <w:bookmarkStart w:id="0" w:name="undefined"/>
      <w:r/>
      <w:bookmarkEnd w:id="0"/>
      <w:r>
        <w:rPr>
          <w:rStyle w:val="902"/>
          <w:rFonts w:ascii="Times New Roman" w:hAnsi="Times New Roman" w:cs="Times New Roman"/>
          <w:sz w:val="24"/>
          <w:szCs w:val="24"/>
        </w:rPr>
        <w:t xml:space="preserve">Разработаны и распространены методические рекомендации и брошюры по организации семейного образования, проведены тематические консультации по поддержке предметных знаний.</w:t>
      </w:r>
      <w:r>
        <w:rPr>
          <w:rStyle w:val="902"/>
          <w:rFonts w:ascii="Times New Roman" w:hAnsi="Times New Roman" w:cs="Times New Roman"/>
          <w:sz w:val="24"/>
          <w:szCs w:val="24"/>
          <w:highlight w:val="none"/>
        </w:rPr>
      </w:r>
      <w:r>
        <w:rPr>
          <w:rStyle w:val="902"/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/>
      <w:bookmarkStart w:id="77" w:name="_Toc232504355"/>
      <w:r/>
      <w:bookmarkStart w:id="78" w:name="_Toc168387885"/>
      <w:r/>
      <w:bookmarkStart w:id="79" w:name="_Toc168388551"/>
      <w:r/>
      <w:bookmarkStart w:id="80" w:name="_Toc168388610"/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Выводы и предложения по совершенствованию деятельности ДП, ЦМРС</w:t>
      </w:r>
      <w:bookmarkEnd w:id="77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Отмечается рост числа семей, обращающихся за методической и консультативной поддержкой, что говорит о востребованности услуг ДП и ЦМРС.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Большинство родителей отмечают полезность консультаций, методических рекомендаций и диагностических мероприятий.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Обучающиеся на семейной форме показывают стабильные результаты промежуточной аттестации, отмечается отсутствие академических задолженностей.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Однако, отмечается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низкая готовность к итоговой аттестации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рикрепление к школе, не подведомственной департаменту образования г. Мегиона — создаёт сложности для оперативного контроля и сопровождения со стороны муниципалитета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1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spacing w:after="0" w:line="276" w:lineRule="auto"/>
        <w:rPr>
          <w:highlight w:val="none"/>
        </w:rPr>
        <w:outlineLvl w:val="1"/>
      </w:pPr>
      <w:r/>
      <w:bookmarkStart w:id="81" w:name="_Toc168388552"/>
      <w:r/>
      <w:bookmarkStart w:id="82" w:name="_Toc168388611"/>
      <w:r/>
      <w:bookmarkStart w:id="83" w:name="_Toc168483546"/>
      <w:r/>
      <w:bookmarkStart w:id="84" w:name="_Toc232504356"/>
      <w:r/>
      <w:bookmarkEnd w:id="78"/>
      <w:r/>
      <w:bookmarkEnd w:id="79"/>
      <w:r/>
      <w:bookmarkEnd w:id="80"/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Требования к структуре и содержанию отчета</w:t>
      </w:r>
      <w:bookmarkEnd w:id="65"/>
      <w:r/>
      <w:bookmarkEnd w:id="66"/>
      <w:r/>
      <w:bookmarkEnd w:id="67"/>
      <w:r/>
      <w:bookmarkEnd w:id="68"/>
      <w:r/>
      <w:bookmarkEnd w:id="69"/>
      <w:r/>
      <w:bookmarkEnd w:id="81"/>
      <w:r/>
      <w:bookmarkEnd w:id="82"/>
      <w:r/>
      <w:bookmarkEnd w:id="83"/>
      <w:r/>
      <w:bookmarkEnd w:id="84"/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Аналитическая часть отчета представляет собой результаты деятельности Диалоговых площадок, Центров методического сопровождения родителей, которые приведены в последовательности, подробно и полно.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85" w:name="_Hlk16830175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Информацию, представленную в отчете, необходимо соотнести с информацией, внесенной в мониторинговую карту.</w:t>
      </w:r>
      <w:bookmarkEnd w:id="8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деятельности ДП, ЦМСР должны быть представлены согласно рекомендуемым формам,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 также в виде графиков, табличных данных, диаграмм, фотографий структур, гистограмм.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В отчете должны быть представлены: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аналитические материалы, подтверждающие положительный социальный эффект;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перечень (содержащий ссылки) нормативных правовых актов, методических и практических материалов (рекомендаций, анкет, инструкций и др.), разработанных и используемых в деятельности ДП, ЦМСР муниципального образования.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аналитической части формулируются основные выводы по результатам деятельности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ДП, ЦМСР.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Полученные результаты необходимо соотнести с целями и задачами, которые были поставлены в начале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Технические требования к оформлению отчета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Шрифт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: Times New Roman,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шрифта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– 12 pt.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Выравнивание по ширине страницы.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Междустрочный интервал – 1,15.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Поля сверху, снизу, слева - 2 см, справа — 1 см.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Абзацный отступ – 1,25 (без использования клавиш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Tab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или «Пробел»).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Автособираемое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содержание.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Нумерация страниц сплошная, начиная с первой (особый колонтитул для первой страницы).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851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Выделения в тексте можно проводить ТОЛЬКО курсивом или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полужирным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начертанием букв.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Оформление заголовков разделов – шрифт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Times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New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Roman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, размер шрифта – 12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pt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, полужирный, положение по центру страницы.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shd w:val="clear" w:color="auto" w:fill="ffffff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выделении в тексте отдельных пунктов или списков следует использовать только арабские цифры.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76" w:lineRule="auto"/>
        <w:tabs>
          <w:tab w:val="num" w:pos="0" w:leader="none"/>
          <w:tab w:val="left" w:pos="993" w:leader="none"/>
          <w:tab w:val="num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тексте используются кавычки: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 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Таблицы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набираются в редакторе MS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размер шрифта – 10-11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pt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Таблицы должны иметь номера и названия, указанные над таблицами.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Графический материал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(рисунки, чертежи, схемы, графики, диаграммы) должны представлять собой обобщенные материалы инновационной деятельности. Графический материал должен быть высокого качества. Названия и номера графического материала должны быть указаны под изображением.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Не допускается использование в тексте: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разрывов страниц;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автоматических постраничных ссылок;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автоматических переносов;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76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разреженного или уплотненного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буквенного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интервала.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200"/>
        <w:tabs>
          <w:tab w:val="left" w:pos="993" w:leader="none"/>
        </w:tabs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Style w:val="89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Информацию о детях, получающих образование вне образовательной организации, необходимо представить в разрезе классов, </w:t>
      </w:r>
      <w:bookmarkStart w:id="26" w:name="_Hlk168067037"/>
      <w:r>
        <w:rPr>
          <w:rFonts w:ascii="Times New Roman" w:hAnsi="Times New Roman" w:cs="Times New Roman"/>
          <w:i/>
        </w:rPr>
        <w:t xml:space="preserve">указав уровни образования</w:t>
      </w:r>
      <w:bookmarkEnd w:id="26"/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pStyle w:val="888"/>
        <w:rPr>
          <w:rFonts w:ascii="Calibri" w:hAnsi="Calibri" w:eastAsia="Times New Roman"/>
          <w:lang w:eastAsia="ru-RU"/>
        </w:rPr>
      </w:pPr>
      <w:r>
        <w:rPr>
          <w:rFonts w:ascii="Calibri" w:hAnsi="Calibri" w:eastAsia="Times New Roman"/>
          <w:lang w:eastAsia="ru-RU"/>
        </w:rPr>
      </w:r>
      <w:r>
        <w:rPr>
          <w:rFonts w:ascii="Calibri" w:hAnsi="Calibri" w:eastAsia="Times New Roman"/>
          <w:lang w:eastAsia="ru-RU"/>
        </w:rPr>
      </w:r>
      <w:r>
        <w:rPr>
          <w:rFonts w:ascii="Calibri" w:hAnsi="Calibri" w:eastAsia="Times New Roman"/>
          <w:lang w:eastAsia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3932324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4"/>
    <w:next w:val="884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85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4"/>
    <w:next w:val="884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85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4"/>
    <w:next w:val="884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85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4"/>
    <w:next w:val="88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8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4"/>
    <w:next w:val="884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85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4"/>
    <w:next w:val="884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85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4"/>
    <w:next w:val="884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85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4"/>
    <w:next w:val="88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85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4"/>
    <w:next w:val="884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85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4"/>
    <w:next w:val="884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5"/>
    <w:link w:val="732"/>
    <w:uiPriority w:val="10"/>
    <w:rPr>
      <w:sz w:val="48"/>
      <w:szCs w:val="48"/>
    </w:rPr>
  </w:style>
  <w:style w:type="paragraph" w:styleId="734">
    <w:name w:val="Subtitle"/>
    <w:basedOn w:val="884"/>
    <w:next w:val="884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5"/>
    <w:link w:val="734"/>
    <w:uiPriority w:val="11"/>
    <w:rPr>
      <w:sz w:val="24"/>
      <w:szCs w:val="24"/>
    </w:rPr>
  </w:style>
  <w:style w:type="paragraph" w:styleId="736">
    <w:name w:val="Quote"/>
    <w:basedOn w:val="884"/>
    <w:next w:val="884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4"/>
    <w:next w:val="884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5"/>
    <w:link w:val="892"/>
    <w:uiPriority w:val="99"/>
  </w:style>
  <w:style w:type="character" w:styleId="741">
    <w:name w:val="Footer Char"/>
    <w:basedOn w:val="885"/>
    <w:link w:val="894"/>
    <w:uiPriority w:val="99"/>
  </w:style>
  <w:style w:type="paragraph" w:styleId="742">
    <w:name w:val="Caption"/>
    <w:basedOn w:val="884"/>
    <w:next w:val="884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5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4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8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1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5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8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2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Footnote Text Char"/>
    <w:link w:val="888"/>
    <w:uiPriority w:val="99"/>
    <w:rPr>
      <w:sz w:val="18"/>
    </w:rPr>
  </w:style>
  <w:style w:type="paragraph" w:styleId="871">
    <w:name w:val="endnote text"/>
    <w:basedOn w:val="884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5"/>
    <w:uiPriority w:val="99"/>
    <w:semiHidden/>
    <w:unhideWhenUsed/>
    <w:rPr>
      <w:vertAlign w:val="superscript"/>
    </w:rPr>
  </w:style>
  <w:style w:type="paragraph" w:styleId="874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footnote text"/>
    <w:basedOn w:val="884"/>
    <w:link w:val="88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9" w:customStyle="1">
    <w:name w:val="Текст сноски Знак"/>
    <w:basedOn w:val="885"/>
    <w:link w:val="888"/>
    <w:uiPriority w:val="99"/>
    <w:semiHidden/>
    <w:rPr>
      <w:sz w:val="20"/>
      <w:szCs w:val="20"/>
    </w:rPr>
  </w:style>
  <w:style w:type="character" w:styleId="890">
    <w:name w:val="footnote reference"/>
    <w:uiPriority w:val="99"/>
    <w:semiHidden/>
    <w:unhideWhenUsed/>
    <w:rPr>
      <w:vertAlign w:val="superscript"/>
    </w:rPr>
  </w:style>
  <w:style w:type="table" w:styleId="891" w:customStyle="1">
    <w:name w:val="Сетка таблицы6"/>
    <w:basedOn w:val="886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Header"/>
    <w:basedOn w:val="884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85"/>
    <w:link w:val="892"/>
    <w:uiPriority w:val="99"/>
  </w:style>
  <w:style w:type="paragraph" w:styleId="894">
    <w:name w:val="Footer"/>
    <w:basedOn w:val="884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85"/>
    <w:link w:val="894"/>
    <w:uiPriority w:val="99"/>
  </w:style>
  <w:style w:type="paragraph" w:styleId="896">
    <w:name w:val="toc 2"/>
    <w:basedOn w:val="884"/>
    <w:next w:val="884"/>
    <w:uiPriority w:val="39"/>
    <w:unhideWhenUsed/>
    <w:pPr>
      <w:ind w:left="220"/>
      <w:spacing w:after="100"/>
    </w:pPr>
  </w:style>
  <w:style w:type="character" w:styleId="897">
    <w:name w:val="Hyperlink"/>
    <w:basedOn w:val="885"/>
    <w:uiPriority w:val="99"/>
    <w:unhideWhenUsed/>
    <w:rPr>
      <w:color w:val="0563c1" w:themeColor="hyperlink"/>
      <w:u w:val="single"/>
    </w:rPr>
  </w:style>
  <w:style w:type="paragraph" w:styleId="898">
    <w:name w:val="List Paragraph"/>
    <w:basedOn w:val="884"/>
    <w:link w:val="899"/>
    <w:uiPriority w:val="34"/>
    <w:qFormat/>
    <w:pPr>
      <w:contextualSpacing/>
      <w:ind w:left="720"/>
    </w:pPr>
  </w:style>
  <w:style w:type="character" w:styleId="899" w:customStyle="1">
    <w:name w:val="Абзац списка Знак"/>
    <w:link w:val="898"/>
    <w:uiPriority w:val="34"/>
  </w:style>
  <w:style w:type="paragraph" w:styleId="900">
    <w:name w:val="Balloon Text"/>
    <w:basedOn w:val="884"/>
    <w:link w:val="90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885"/>
    <w:link w:val="900"/>
    <w:uiPriority w:val="99"/>
    <w:semiHidden/>
    <w:rPr>
      <w:rFonts w:ascii="Segoe UI" w:hAnsi="Segoe UI" w:cs="Segoe UI"/>
      <w:sz w:val="18"/>
      <w:szCs w:val="18"/>
    </w:rPr>
  </w:style>
  <w:style w:type="character" w:styleId="902" w:customStyle="1">
    <w:name w:val="markdown-word"/>
  </w:style>
  <w:style w:type="table" w:styleId="903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04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5" w:customStyle="1">
    <w:name w:val="Body Text"/>
    <w:link w:val="895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doimp.admmegion.ru/" TargetMode="External"/><Relationship Id="rId12" Type="http://schemas.openxmlformats.org/officeDocument/2006/relationships/hyperlink" Target="http://SusolJG@admmegion.ru" TargetMode="External"/><Relationship Id="rId13" Type="http://schemas.openxmlformats.org/officeDocument/2006/relationships/hyperlink" Target="http://SusolJG@admmegion.ru" TargetMode="External"/><Relationship Id="rId14" Type="http://schemas.openxmlformats.org/officeDocument/2006/relationships/hyperlink" Target="https://doimp.admmegion.ru/activities/deyatelnost-tsentrov-semeynogo-obrazovaniya-i-samoobrazovaniya-dialogovykh-ploshchadok-/" TargetMode="External"/><Relationship Id="rId15" Type="http://schemas.openxmlformats.org/officeDocument/2006/relationships/hyperlink" Target="https://shkola1megion-r86.gosweb.gosuslugi.ru/roditelyam-i-uchenikam/semeynaya-forma-obrazovaniya/" TargetMode="External"/><Relationship Id="rId16" Type="http://schemas.openxmlformats.org/officeDocument/2006/relationships/hyperlink" Target="https://shkola3megion-r86.gosweb.gosuslugi.ru/netcat_files/156/2592/Pamyatka_pomosch_psihologa_i_logopeda_1_.pdf" TargetMode="External"/><Relationship Id="rId17" Type="http://schemas.openxmlformats.org/officeDocument/2006/relationships/hyperlink" Target="https://shkola3megion-r86.gosweb.gosuslugi.ru/netcat_files/156/2586/sckola.pdf" TargetMode="External"/><Relationship Id="rId18" Type="http://schemas.openxmlformats.org/officeDocument/2006/relationships/hyperlink" Target="https://shkola3megion-r86.gosweb.gosuslugi.ru/netcat_files/156/2586/sekchii.pdf" TargetMode="External"/><Relationship Id="rId19" Type="http://schemas.openxmlformats.org/officeDocument/2006/relationships/hyperlink" Target="https://shkola3megion-r86.gosweb.gosuslugi.ru/netcat_files/156/2586/Roditelyam_podrostka.pdf" TargetMode="External"/><Relationship Id="rId20" Type="http://schemas.openxmlformats.org/officeDocument/2006/relationships/hyperlink" Target="https://school4-megion.gosuslugi.ru/svedeniya-ob-obrazovatelnoy-organizatsii/obrazovani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АУ Институт развития образования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Павловна Варанкина</dc:creator>
  <cp:keywords/>
  <dc:description/>
  <cp:lastModifiedBy>SusolJG</cp:lastModifiedBy>
  <cp:revision>8</cp:revision>
  <dcterms:created xsi:type="dcterms:W3CDTF">2026-06-15T12:58:00Z</dcterms:created>
  <dcterms:modified xsi:type="dcterms:W3CDTF">2026-06-24T09:12:15Z</dcterms:modified>
</cp:coreProperties>
</file>